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77591">
      <w:pPr>
        <w:kinsoku w:val="0"/>
        <w:overflowPunct w:val="0"/>
        <w:autoSpaceDE/>
        <w:autoSpaceDN/>
        <w:adjustRightInd/>
        <w:spacing w:line="267" w:lineRule="exact"/>
        <w:ind w:left="72"/>
        <w:jc w:val="center"/>
        <w:textAlignment w:val="baseline"/>
        <w:rPr>
          <w:b/>
          <w:bCs/>
          <w:sz w:val="24"/>
          <w:szCs w:val="24"/>
          <w:lang w:val="es-ES" w:eastAsia="es-ES"/>
        </w:rPr>
      </w:pPr>
      <w:r>
        <w:rPr>
          <w:b/>
          <w:bCs/>
          <w:sz w:val="24"/>
          <w:szCs w:val="24"/>
          <w:lang w:val="es-ES" w:eastAsia="es-ES"/>
        </w:rPr>
        <w:t>RESOLUCIÓN No. TAT-2714-2015</w:t>
      </w:r>
    </w:p>
    <w:p w:rsidR="00000000" w:rsidRDefault="00477591">
      <w:pPr>
        <w:kinsoku w:val="0"/>
        <w:overflowPunct w:val="0"/>
        <w:autoSpaceDE/>
        <w:autoSpaceDN/>
        <w:adjustRightInd/>
        <w:spacing w:before="478" w:line="277" w:lineRule="exact"/>
        <w:ind w:left="144"/>
        <w:textAlignment w:val="baseline"/>
        <w:rPr>
          <w:spacing w:val="1"/>
          <w:sz w:val="24"/>
          <w:szCs w:val="24"/>
          <w:lang w:val="es-ES" w:eastAsia="es-ES"/>
        </w:rPr>
      </w:pPr>
      <w:r>
        <w:rPr>
          <w:b/>
          <w:bCs/>
          <w:spacing w:val="1"/>
          <w:sz w:val="24"/>
          <w:szCs w:val="24"/>
          <w:lang w:val="es-ES" w:eastAsia="es-ES"/>
        </w:rPr>
        <w:t xml:space="preserve">TRIBUNAL ADMINISTRATIVO DE TRANSPORTE.- </w:t>
      </w:r>
      <w:r>
        <w:rPr>
          <w:spacing w:val="1"/>
          <w:sz w:val="24"/>
          <w:szCs w:val="24"/>
          <w:lang w:val="es-ES" w:eastAsia="es-ES"/>
        </w:rPr>
        <w:t>San José, a las</w:t>
      </w:r>
      <w:r>
        <w:rPr>
          <w:spacing w:val="1"/>
          <w:sz w:val="24"/>
          <w:szCs w:val="24"/>
          <w:lang w:val="es-ES" w:eastAsia="es-ES"/>
        </w:rPr>
        <w:t xml:space="preserve"> 10:39 horas del</w:t>
      </w:r>
    </w:p>
    <w:p w:rsidR="00000000" w:rsidRDefault="00477591">
      <w:pPr>
        <w:tabs>
          <w:tab w:val="right" w:leader="hyphen" w:pos="8928"/>
        </w:tabs>
        <w:kinsoku w:val="0"/>
        <w:overflowPunct w:val="0"/>
        <w:autoSpaceDE/>
        <w:autoSpaceDN/>
        <w:adjustRightInd/>
        <w:spacing w:line="274" w:lineRule="exact"/>
        <w:ind w:left="144"/>
        <w:textAlignment w:val="baseline"/>
        <w:rPr>
          <w:sz w:val="24"/>
          <w:szCs w:val="24"/>
          <w:lang w:val="es-ES" w:eastAsia="es-ES"/>
        </w:rPr>
      </w:pPr>
      <w:r>
        <w:rPr>
          <w:sz w:val="24"/>
          <w:szCs w:val="24"/>
          <w:lang w:val="es-ES" w:eastAsia="es-ES"/>
        </w:rPr>
        <w:t>día Veintiocho del mes de Agosto del Dos Mil Quince.</w:t>
      </w:r>
      <w:r>
        <w:rPr>
          <w:sz w:val="24"/>
          <w:szCs w:val="24"/>
          <w:lang w:val="es-ES" w:eastAsia="es-ES"/>
        </w:rPr>
        <w:tab/>
      </w:r>
    </w:p>
    <w:p w:rsidR="00000000" w:rsidRPr="004F68A6" w:rsidRDefault="00477591">
      <w:pPr>
        <w:kinsoku w:val="0"/>
        <w:overflowPunct w:val="0"/>
        <w:autoSpaceDE/>
        <w:autoSpaceDN/>
        <w:adjustRightInd/>
        <w:spacing w:before="308" w:line="277" w:lineRule="exact"/>
        <w:ind w:left="144" w:right="144"/>
        <w:jc w:val="both"/>
        <w:textAlignment w:val="baseline"/>
        <w:rPr>
          <w:b/>
          <w:sz w:val="24"/>
          <w:szCs w:val="24"/>
          <w:lang w:eastAsia="en-US"/>
        </w:rPr>
      </w:pPr>
      <w:r>
        <w:rPr>
          <w:spacing w:val="2"/>
          <w:sz w:val="24"/>
          <w:szCs w:val="24"/>
          <w:lang w:val="es-ES" w:eastAsia="es-ES"/>
        </w:rPr>
        <w:t xml:space="preserve">Se conoce por este medio de </w:t>
      </w:r>
      <w:r>
        <w:rPr>
          <w:b/>
          <w:bCs/>
          <w:spacing w:val="2"/>
          <w:sz w:val="24"/>
          <w:szCs w:val="24"/>
          <w:lang w:val="es-ES" w:eastAsia="es-ES"/>
        </w:rPr>
        <w:t xml:space="preserve">RECURSO DE APELACIÓN </w:t>
      </w:r>
      <w:r>
        <w:rPr>
          <w:spacing w:val="2"/>
          <w:sz w:val="24"/>
          <w:szCs w:val="24"/>
          <w:lang w:val="es-ES" w:eastAsia="es-ES"/>
        </w:rPr>
        <w:t xml:space="preserve">en subsidio y de </w:t>
      </w:r>
      <w:r>
        <w:rPr>
          <w:b/>
          <w:bCs/>
          <w:spacing w:val="2"/>
          <w:sz w:val="24"/>
          <w:szCs w:val="24"/>
          <w:lang w:val="es-ES" w:eastAsia="es-ES"/>
        </w:rPr>
        <w:t xml:space="preserve">NULIDAD </w:t>
      </w:r>
      <w:r>
        <w:rPr>
          <w:spacing w:val="2"/>
          <w:sz w:val="24"/>
          <w:szCs w:val="24"/>
          <w:lang w:val="es-ES" w:eastAsia="es-ES"/>
        </w:rPr>
        <w:t xml:space="preserve">concomitante, interpuestos por el Señor </w:t>
      </w:r>
      <w:r>
        <w:rPr>
          <w:b/>
          <w:bCs/>
          <w:spacing w:val="2"/>
          <w:sz w:val="24"/>
          <w:szCs w:val="24"/>
          <w:lang w:val="es-ES" w:eastAsia="es-ES"/>
        </w:rPr>
        <w:t>E</w:t>
      </w:r>
      <w:r w:rsidR="004F68A6">
        <w:rPr>
          <w:b/>
          <w:bCs/>
          <w:spacing w:val="2"/>
          <w:sz w:val="24"/>
          <w:szCs w:val="24"/>
          <w:lang w:val="es-ES" w:eastAsia="es-ES"/>
        </w:rPr>
        <w:t>.R.B.</w:t>
      </w:r>
      <w:r>
        <w:rPr>
          <w:b/>
          <w:bCs/>
          <w:spacing w:val="2"/>
          <w:sz w:val="24"/>
          <w:szCs w:val="24"/>
          <w:lang w:val="es-ES" w:eastAsia="es-ES"/>
        </w:rPr>
        <w:t xml:space="preserve">, </w:t>
      </w:r>
      <w:r>
        <w:rPr>
          <w:spacing w:val="2"/>
          <w:sz w:val="24"/>
          <w:szCs w:val="24"/>
          <w:lang w:val="es-ES" w:eastAsia="es-ES"/>
        </w:rPr>
        <w:t>de calidades conocidas, portador de la cé</w:t>
      </w:r>
      <w:r>
        <w:rPr>
          <w:spacing w:val="2"/>
          <w:sz w:val="24"/>
          <w:szCs w:val="24"/>
          <w:lang w:val="es-ES" w:eastAsia="es-ES"/>
        </w:rPr>
        <w:t xml:space="preserve">dula de identidad número </w:t>
      </w:r>
      <w:r w:rsidR="004F68A6">
        <w:rPr>
          <w:spacing w:val="2"/>
          <w:sz w:val="24"/>
          <w:szCs w:val="24"/>
          <w:lang w:val="es-ES" w:eastAsia="es-ES"/>
        </w:rPr>
        <w:t>…</w:t>
      </w:r>
      <w:r>
        <w:rPr>
          <w:spacing w:val="2"/>
          <w:sz w:val="24"/>
          <w:szCs w:val="24"/>
          <w:lang w:val="es-ES" w:eastAsia="es-ES"/>
        </w:rPr>
        <w:t xml:space="preserve">, en su calidad de Representante y Apoderado Generalísimo sin límite de suma de la Sociedad de esta plaza, </w:t>
      </w:r>
      <w:r>
        <w:rPr>
          <w:b/>
          <w:bCs/>
          <w:spacing w:val="2"/>
          <w:sz w:val="24"/>
          <w:szCs w:val="24"/>
          <w:lang w:val="es-ES" w:eastAsia="es-ES"/>
        </w:rPr>
        <w:t>A</w:t>
      </w:r>
      <w:r w:rsidR="004F68A6">
        <w:rPr>
          <w:b/>
          <w:bCs/>
          <w:spacing w:val="2"/>
          <w:sz w:val="24"/>
          <w:szCs w:val="24"/>
          <w:lang w:val="es-ES" w:eastAsia="es-ES"/>
        </w:rPr>
        <w:t>.C.S.A.</w:t>
      </w:r>
      <w:r>
        <w:rPr>
          <w:b/>
          <w:bCs/>
          <w:spacing w:val="2"/>
          <w:sz w:val="24"/>
          <w:szCs w:val="24"/>
          <w:lang w:val="es-ES" w:eastAsia="es-ES"/>
        </w:rPr>
        <w:t xml:space="preserve">, </w:t>
      </w:r>
      <w:r>
        <w:rPr>
          <w:spacing w:val="2"/>
          <w:sz w:val="24"/>
          <w:szCs w:val="24"/>
          <w:lang w:val="es-ES" w:eastAsia="es-ES"/>
        </w:rPr>
        <w:t xml:space="preserve">cédula de persona jurídica número </w:t>
      </w:r>
      <w:r w:rsidR="004F68A6">
        <w:rPr>
          <w:spacing w:val="2"/>
          <w:sz w:val="24"/>
          <w:szCs w:val="24"/>
          <w:lang w:val="es-ES" w:eastAsia="es-ES"/>
        </w:rPr>
        <w:t>…</w:t>
      </w:r>
      <w:r>
        <w:rPr>
          <w:spacing w:val="2"/>
          <w:sz w:val="24"/>
          <w:szCs w:val="24"/>
          <w:lang w:val="es-ES" w:eastAsia="es-ES"/>
        </w:rPr>
        <w:t>, contra el Acuerdo No. 7.9 de la Sesión</w:t>
      </w:r>
      <w:r>
        <w:rPr>
          <w:spacing w:val="2"/>
          <w:sz w:val="24"/>
          <w:szCs w:val="24"/>
          <w:lang w:val="es-ES" w:eastAsia="es-ES"/>
        </w:rPr>
        <w:t xml:space="preserve"> Ordinaria 13-2015 de fecha 11 de Marzo del 2015, de la Junta Directiva del Consejo de Transporte Público.- </w:t>
      </w:r>
      <w:r w:rsidRPr="004F68A6">
        <w:rPr>
          <w:b/>
          <w:i/>
          <w:iCs/>
          <w:spacing w:val="2"/>
          <w:sz w:val="24"/>
          <w:szCs w:val="24"/>
          <w:lang w:val="es-ES" w:eastAsia="es-ES"/>
        </w:rPr>
        <w:t>EXPEDIENTE No. TAT-286-I 5.</w:t>
      </w:r>
      <w:r w:rsidRPr="004F68A6">
        <w:rPr>
          <w:b/>
          <w:i/>
          <w:iCs/>
          <w:spacing w:val="2"/>
          <w:sz w:val="24"/>
          <w:szCs w:val="24"/>
          <w:lang w:val="es-ES" w:eastAsia="es-ES"/>
        </w:rPr>
        <w:noBreakHyphen/>
      </w:r>
    </w:p>
    <w:p w:rsidR="00000000" w:rsidRPr="004F68A6" w:rsidRDefault="00477591">
      <w:pPr>
        <w:kinsoku w:val="0"/>
        <w:overflowPunct w:val="0"/>
        <w:autoSpaceDE/>
        <w:autoSpaceDN/>
        <w:adjustRightInd/>
        <w:spacing w:before="510" w:line="277" w:lineRule="exact"/>
        <w:ind w:left="72"/>
        <w:jc w:val="center"/>
        <w:textAlignment w:val="baseline"/>
        <w:rPr>
          <w:b/>
          <w:i/>
          <w:iCs/>
          <w:spacing w:val="3"/>
          <w:sz w:val="24"/>
          <w:szCs w:val="24"/>
          <w:lang w:val="es-ES" w:eastAsia="es-ES"/>
        </w:rPr>
      </w:pPr>
      <w:r w:rsidRPr="004F68A6">
        <w:rPr>
          <w:b/>
          <w:i/>
          <w:iCs/>
          <w:spacing w:val="3"/>
          <w:sz w:val="24"/>
          <w:szCs w:val="24"/>
          <w:lang w:val="es-ES" w:eastAsia="es-ES"/>
        </w:rPr>
        <w:t>Resultando:</w:t>
      </w:r>
    </w:p>
    <w:p w:rsidR="00000000" w:rsidRDefault="00477591">
      <w:pPr>
        <w:numPr>
          <w:ilvl w:val="0"/>
          <w:numId w:val="1"/>
        </w:numPr>
        <w:kinsoku w:val="0"/>
        <w:overflowPunct w:val="0"/>
        <w:autoSpaceDE/>
        <w:autoSpaceDN/>
        <w:adjustRightInd/>
        <w:spacing w:before="196" w:line="277" w:lineRule="exact"/>
        <w:ind w:right="144"/>
        <w:jc w:val="both"/>
        <w:textAlignment w:val="baseline"/>
        <w:rPr>
          <w:spacing w:val="1"/>
          <w:sz w:val="24"/>
          <w:szCs w:val="24"/>
          <w:lang w:val="es-ES" w:eastAsia="es-ES"/>
        </w:rPr>
      </w:pPr>
      <w:r>
        <w:rPr>
          <w:spacing w:val="1"/>
          <w:sz w:val="24"/>
          <w:szCs w:val="24"/>
          <w:lang w:val="es-ES" w:eastAsia="es-ES"/>
        </w:rPr>
        <w:t>Mediante Acuerdo No.7.9 de la Sesió</w:t>
      </w:r>
      <w:r>
        <w:rPr>
          <w:spacing w:val="1"/>
          <w:sz w:val="24"/>
          <w:szCs w:val="24"/>
          <w:lang w:val="es-ES" w:eastAsia="es-ES"/>
        </w:rPr>
        <w:t>n Ordinaria 13-2015 de fecha 11 de Marzo del 2015, la Junta Directiva del Consejo de Transporte Público del Ministerio de Obras Públicas y Transportes, Rechaza una Reclamo Administrativo y sendas Solicitudes de Nulidad y de Suspensión presentadas por la fi</w:t>
      </w:r>
      <w:r>
        <w:rPr>
          <w:spacing w:val="1"/>
          <w:sz w:val="24"/>
          <w:szCs w:val="24"/>
          <w:lang w:val="es-ES" w:eastAsia="es-ES"/>
        </w:rPr>
        <w:t>rma C</w:t>
      </w:r>
      <w:r w:rsidR="004F68A6">
        <w:rPr>
          <w:spacing w:val="1"/>
          <w:sz w:val="24"/>
          <w:szCs w:val="24"/>
          <w:lang w:val="es-ES" w:eastAsia="es-ES"/>
        </w:rPr>
        <w:t>.S</w:t>
      </w:r>
      <w:r>
        <w:rPr>
          <w:spacing w:val="1"/>
          <w:sz w:val="24"/>
          <w:szCs w:val="24"/>
          <w:lang w:val="es-ES" w:eastAsia="es-ES"/>
        </w:rPr>
        <w:t>.A., contra un Cambio de Esquema Operativo y de Horarios que se determinara en cuanto a los Servicios en las Rutas Nos. 51, 51-A y 53 mediante el Acuerdo No. 7.3 de la Sesión Ordinaria No. 36-2011 del año 2011.</w:t>
      </w:r>
    </w:p>
    <w:p w:rsidR="00000000" w:rsidRDefault="00477591">
      <w:pPr>
        <w:numPr>
          <w:ilvl w:val="0"/>
          <w:numId w:val="1"/>
        </w:numPr>
        <w:kinsoku w:val="0"/>
        <w:overflowPunct w:val="0"/>
        <w:autoSpaceDE/>
        <w:autoSpaceDN/>
        <w:adjustRightInd/>
        <w:spacing w:before="514" w:line="277" w:lineRule="exact"/>
        <w:ind w:right="144"/>
        <w:jc w:val="both"/>
        <w:textAlignment w:val="baseline"/>
        <w:rPr>
          <w:sz w:val="24"/>
          <w:szCs w:val="24"/>
          <w:lang w:val="es-ES" w:eastAsia="es-ES"/>
        </w:rPr>
      </w:pPr>
      <w:r>
        <w:rPr>
          <w:sz w:val="24"/>
          <w:szCs w:val="24"/>
          <w:lang w:val="es-ES" w:eastAsia="es-ES"/>
        </w:rPr>
        <w:t xml:space="preserve">Visto el Rechazo de su Reclamo y </w:t>
      </w:r>
      <w:r>
        <w:rPr>
          <w:sz w:val="24"/>
          <w:szCs w:val="24"/>
          <w:lang w:val="es-ES" w:eastAsia="es-ES"/>
        </w:rPr>
        <w:t>de sus Peticiones de Nulidad y de Suspensión de efectos en cuanto a lo determinado mediante el Acuerdo No. 7.3 de la Sesión Ordinaria No. 36-2011 del año 2011; el Representante Acreditado de la firma C</w:t>
      </w:r>
      <w:r w:rsidR="004F68A6">
        <w:rPr>
          <w:sz w:val="24"/>
          <w:szCs w:val="24"/>
          <w:lang w:val="es-ES" w:eastAsia="es-ES"/>
        </w:rPr>
        <w:t>.</w:t>
      </w:r>
      <w:r>
        <w:rPr>
          <w:sz w:val="24"/>
          <w:szCs w:val="24"/>
          <w:lang w:val="es-ES" w:eastAsia="es-ES"/>
        </w:rPr>
        <w:t>S.A. interpone formales Recursos de Revocatoria c</w:t>
      </w:r>
      <w:r>
        <w:rPr>
          <w:sz w:val="24"/>
          <w:szCs w:val="24"/>
          <w:lang w:val="es-ES" w:eastAsia="es-ES"/>
        </w:rPr>
        <w:t>on Apelación en subsidio y Nulidad Absoluta concomitante, contra el respectivo Acuerdo (No.7.9 de la Sesión Ordinaria 13-2015). Lo anterior según su memorial de fecha 23 de Marzo del 2015 (Expediente No. 301200 del 23 de marzo del 2015).</w:t>
      </w:r>
    </w:p>
    <w:p w:rsidR="00000000" w:rsidRDefault="00477591">
      <w:pPr>
        <w:numPr>
          <w:ilvl w:val="0"/>
          <w:numId w:val="1"/>
        </w:numPr>
        <w:kinsoku w:val="0"/>
        <w:overflowPunct w:val="0"/>
        <w:autoSpaceDE/>
        <w:autoSpaceDN/>
        <w:adjustRightInd/>
        <w:spacing w:before="513" w:line="277" w:lineRule="exact"/>
        <w:ind w:right="144"/>
        <w:jc w:val="both"/>
        <w:textAlignment w:val="baseline"/>
        <w:rPr>
          <w:sz w:val="24"/>
          <w:szCs w:val="24"/>
          <w:lang w:val="es-ES" w:eastAsia="es-ES"/>
        </w:rPr>
      </w:pPr>
      <w:r>
        <w:rPr>
          <w:sz w:val="24"/>
          <w:szCs w:val="24"/>
          <w:lang w:val="es-ES" w:eastAsia="es-ES"/>
        </w:rPr>
        <w:t>Mediante su Acuerd</w:t>
      </w:r>
      <w:r>
        <w:rPr>
          <w:sz w:val="24"/>
          <w:szCs w:val="24"/>
          <w:lang w:val="es-ES" w:eastAsia="es-ES"/>
        </w:rPr>
        <w:t>o No. 7.15 de su Sesión Ordinaria No. 41-2015 del 15 de Julio del 2015, la Junta Directiva del Consejo de Transporte Público dispone Rechazar la Revocatoria y la Nulidad primarias, elevando ante este Tribunal la Apelación y Nulidad subsidiarias. Consideran</w:t>
      </w:r>
      <w:r>
        <w:rPr>
          <w:sz w:val="24"/>
          <w:szCs w:val="24"/>
          <w:lang w:val="es-ES" w:eastAsia="es-ES"/>
        </w:rPr>
        <w:t>do al efecto que las Acciones en cuestión se habrían presentado de forma Extemporánea, toda vez que lo que buscaban era la Impugnación y/o Nulidad de un</w:t>
      </w:r>
    </w:p>
    <w:p w:rsidR="00000000" w:rsidRDefault="00477591">
      <w:pPr>
        <w:widowControl/>
        <w:rPr>
          <w:sz w:val="24"/>
          <w:szCs w:val="24"/>
        </w:rPr>
        <w:sectPr w:rsidR="00000000">
          <w:pgSz w:w="12134" w:h="15840"/>
          <w:pgMar w:top="1380" w:right="1446" w:bottom="871" w:left="1568" w:header="720" w:footer="720" w:gutter="0"/>
          <w:cols w:space="720"/>
          <w:noEndnote/>
        </w:sectPr>
      </w:pPr>
    </w:p>
    <w:p w:rsidR="00000000" w:rsidRDefault="00477591">
      <w:pPr>
        <w:kinsoku w:val="0"/>
        <w:overflowPunct w:val="0"/>
        <w:autoSpaceDE/>
        <w:autoSpaceDN/>
        <w:adjustRightInd/>
        <w:spacing w:before="3" w:line="289" w:lineRule="exact"/>
        <w:ind w:left="144" w:right="144"/>
        <w:jc w:val="both"/>
        <w:textAlignment w:val="baseline"/>
        <w:rPr>
          <w:sz w:val="24"/>
          <w:szCs w:val="24"/>
          <w:lang w:val="es-ES" w:eastAsia="es-ES"/>
        </w:rPr>
      </w:pPr>
      <w:r>
        <w:rPr>
          <w:sz w:val="24"/>
          <w:szCs w:val="24"/>
          <w:lang w:val="es-ES" w:eastAsia="es-ES"/>
        </w:rPr>
        <w:lastRenderedPageBreak/>
        <w:t>Acto emitido en firme desde el año 2011 (Acuerdo No. 7.3 de la Sesión Ordinaria No. 36</w:t>
      </w:r>
      <w:r>
        <w:rPr>
          <w:sz w:val="24"/>
          <w:szCs w:val="24"/>
          <w:lang w:val="es-ES" w:eastAsia="es-ES"/>
        </w:rPr>
        <w:softHyphen/>
        <w:t>2011 del año 2011).</w:t>
      </w:r>
    </w:p>
    <w:p w:rsidR="00000000" w:rsidRDefault="00477591">
      <w:pPr>
        <w:tabs>
          <w:tab w:val="right" w:pos="9000"/>
        </w:tabs>
        <w:kinsoku w:val="0"/>
        <w:overflowPunct w:val="0"/>
        <w:autoSpaceDE/>
        <w:autoSpaceDN/>
        <w:adjustRightInd/>
        <w:spacing w:before="493" w:line="281" w:lineRule="exact"/>
        <w:ind w:left="144"/>
        <w:jc w:val="both"/>
        <w:textAlignment w:val="baseline"/>
        <w:rPr>
          <w:sz w:val="24"/>
          <w:szCs w:val="24"/>
          <w:lang w:val="es-ES" w:eastAsia="es-ES"/>
        </w:rPr>
      </w:pPr>
      <w:r w:rsidRPr="004F68A6">
        <w:rPr>
          <w:b/>
          <w:sz w:val="24"/>
          <w:szCs w:val="24"/>
          <w:lang w:val="es-ES" w:eastAsia="es-ES"/>
        </w:rPr>
        <w:t>4.-</w:t>
      </w:r>
      <w:r>
        <w:rPr>
          <w:sz w:val="24"/>
          <w:szCs w:val="24"/>
          <w:lang w:val="es-ES" w:eastAsia="es-ES"/>
        </w:rPr>
        <w:tab/>
        <w:t>En mérito de lo anterior, en conocimiento de los Atestados del Expediente del Caso</w:t>
      </w:r>
    </w:p>
    <w:p w:rsidR="00000000" w:rsidRDefault="00477591">
      <w:pPr>
        <w:kinsoku w:val="0"/>
        <w:overflowPunct w:val="0"/>
        <w:autoSpaceDE/>
        <w:autoSpaceDN/>
        <w:adjustRightInd/>
        <w:spacing w:line="286" w:lineRule="exact"/>
        <w:ind w:left="144" w:right="144"/>
        <w:jc w:val="both"/>
        <w:textAlignment w:val="baseline"/>
        <w:rPr>
          <w:sz w:val="24"/>
          <w:szCs w:val="24"/>
          <w:lang w:val="es-ES" w:eastAsia="es-ES"/>
        </w:rPr>
      </w:pPr>
      <w:r>
        <w:rPr>
          <w:sz w:val="24"/>
          <w:szCs w:val="24"/>
          <w:lang w:val="es-ES" w:eastAsia="es-ES"/>
        </w:rPr>
        <w:t>de manas y en observa</w:t>
      </w:r>
      <w:r>
        <w:rPr>
          <w:sz w:val="24"/>
          <w:szCs w:val="24"/>
          <w:lang w:val="es-ES" w:eastAsia="es-ES"/>
        </w:rPr>
        <w:t>ncia de los Plazos y Prescripciones de Ley, procede a conocer este Tribunal.</w:t>
      </w:r>
    </w:p>
    <w:p w:rsidR="00000000" w:rsidRPr="004F68A6" w:rsidRDefault="00477591">
      <w:pPr>
        <w:kinsoku w:val="0"/>
        <w:overflowPunct w:val="0"/>
        <w:autoSpaceDE/>
        <w:autoSpaceDN/>
        <w:adjustRightInd/>
        <w:spacing w:before="462" w:line="281" w:lineRule="exact"/>
        <w:ind w:left="144"/>
        <w:textAlignment w:val="baseline"/>
        <w:rPr>
          <w:b/>
          <w:spacing w:val="6"/>
          <w:sz w:val="24"/>
          <w:szCs w:val="24"/>
          <w:lang w:val="es-ES" w:eastAsia="es-ES"/>
        </w:rPr>
      </w:pPr>
      <w:r w:rsidRPr="004F68A6">
        <w:rPr>
          <w:b/>
          <w:i/>
          <w:iCs/>
          <w:spacing w:val="6"/>
          <w:sz w:val="24"/>
          <w:szCs w:val="24"/>
          <w:lang w:val="es-ES" w:eastAsia="es-ES"/>
        </w:rPr>
        <w:t xml:space="preserve">REDACTA EL JUEZ QUESADA AGUIRRE, </w:t>
      </w:r>
      <w:r w:rsidRPr="004F68A6">
        <w:rPr>
          <w:b/>
          <w:spacing w:val="6"/>
          <w:sz w:val="24"/>
          <w:szCs w:val="24"/>
          <w:lang w:val="es-ES" w:eastAsia="es-ES"/>
        </w:rPr>
        <w:t>y</w:t>
      </w:r>
    </w:p>
    <w:p w:rsidR="00000000" w:rsidRPr="004F68A6" w:rsidRDefault="00477591">
      <w:pPr>
        <w:kinsoku w:val="0"/>
        <w:overflowPunct w:val="0"/>
        <w:autoSpaceDE/>
        <w:autoSpaceDN/>
        <w:adjustRightInd/>
        <w:spacing w:before="400" w:line="278" w:lineRule="exact"/>
        <w:ind w:left="72"/>
        <w:jc w:val="center"/>
        <w:textAlignment w:val="baseline"/>
        <w:rPr>
          <w:b/>
          <w:i/>
          <w:iCs/>
          <w:spacing w:val="1"/>
          <w:sz w:val="24"/>
          <w:szCs w:val="24"/>
          <w:lang w:val="es-ES" w:eastAsia="es-ES"/>
        </w:rPr>
      </w:pPr>
      <w:r w:rsidRPr="004F68A6">
        <w:rPr>
          <w:b/>
          <w:i/>
          <w:iCs/>
          <w:spacing w:val="1"/>
          <w:sz w:val="24"/>
          <w:szCs w:val="24"/>
          <w:lang w:val="es-ES" w:eastAsia="es-ES"/>
        </w:rPr>
        <w:t>Considerando Único</w:t>
      </w:r>
    </w:p>
    <w:p w:rsidR="00000000" w:rsidRDefault="00477591">
      <w:pPr>
        <w:kinsoku w:val="0"/>
        <w:overflowPunct w:val="0"/>
        <w:autoSpaceDE/>
        <w:autoSpaceDN/>
        <w:adjustRightInd/>
        <w:spacing w:before="194" w:line="281" w:lineRule="exact"/>
        <w:ind w:left="144" w:right="144"/>
        <w:jc w:val="both"/>
        <w:textAlignment w:val="baseline"/>
        <w:rPr>
          <w:sz w:val="24"/>
          <w:szCs w:val="24"/>
          <w:lang w:val="es-ES" w:eastAsia="es-ES"/>
        </w:rPr>
      </w:pPr>
      <w:r>
        <w:rPr>
          <w:sz w:val="24"/>
          <w:szCs w:val="24"/>
          <w:lang w:val="es-ES" w:eastAsia="es-ES"/>
        </w:rPr>
        <w:t>En la especie lo que se evidencia es que ante su Omisión de debida Impugnació</w:t>
      </w:r>
      <w:r>
        <w:rPr>
          <w:sz w:val="24"/>
          <w:szCs w:val="24"/>
          <w:lang w:val="es-ES" w:eastAsia="es-ES"/>
        </w:rPr>
        <w:t>n de las determinaciones del Acuerdo No. 7.3 de la Sesión Ordinaria No. 36-2011 del año 2011 de la Junta Directiva del Consejo de Transporte Público, la firma C</w:t>
      </w:r>
      <w:r w:rsidR="004F68A6">
        <w:rPr>
          <w:sz w:val="24"/>
          <w:szCs w:val="24"/>
          <w:lang w:val="es-ES" w:eastAsia="es-ES"/>
        </w:rPr>
        <w:t>.</w:t>
      </w:r>
      <w:r>
        <w:rPr>
          <w:sz w:val="24"/>
          <w:szCs w:val="24"/>
          <w:lang w:val="es-ES" w:eastAsia="es-ES"/>
        </w:rPr>
        <w:t>S.A., luego de los plazos y/o tiempos de rigor, vienen a procurar "Impugnar" o hacer que s</w:t>
      </w:r>
      <w:r>
        <w:rPr>
          <w:sz w:val="24"/>
          <w:szCs w:val="24"/>
          <w:lang w:val="es-ES" w:eastAsia="es-ES"/>
        </w:rPr>
        <w:t>e Revoque dicho Acuerdo, utilizando al efecto una Vía Reclamativa y adicionando a la misma sus Pedimentos de Nulidad y de Suspensión. Gestiones que realiza con posterioridad a los Plazos de Impugnación de Ley (artículo 11 de la Ley No. 7969).</w:t>
      </w:r>
    </w:p>
    <w:p w:rsidR="00000000" w:rsidRDefault="00477591">
      <w:pPr>
        <w:kinsoku w:val="0"/>
        <w:overflowPunct w:val="0"/>
        <w:autoSpaceDE/>
        <w:autoSpaceDN/>
        <w:adjustRightInd/>
        <w:spacing w:before="196" w:line="281" w:lineRule="exact"/>
        <w:ind w:left="144" w:right="144"/>
        <w:jc w:val="both"/>
        <w:textAlignment w:val="baseline"/>
        <w:rPr>
          <w:sz w:val="24"/>
          <w:szCs w:val="24"/>
          <w:lang w:val="es-ES" w:eastAsia="es-ES"/>
        </w:rPr>
      </w:pPr>
      <w:r>
        <w:rPr>
          <w:sz w:val="24"/>
          <w:szCs w:val="24"/>
          <w:lang w:val="es-ES" w:eastAsia="es-ES"/>
        </w:rPr>
        <w:t>Así las cosas</w:t>
      </w:r>
      <w:r>
        <w:rPr>
          <w:sz w:val="24"/>
          <w:szCs w:val="24"/>
          <w:lang w:val="es-ES" w:eastAsia="es-ES"/>
        </w:rPr>
        <w:t>, pese a que la tesis jurídica del Consejo de Transporte Público pudiera resultar válida, toda vez que lo actuado ha sido fuera del tiempo debido. Este Tribunal prohíja su propia tesis en sentido de que sí bien es cierto el Acuerdo No.7.9 de la Sesión Ordi</w:t>
      </w:r>
      <w:r>
        <w:rPr>
          <w:sz w:val="24"/>
          <w:szCs w:val="24"/>
          <w:lang w:val="es-ES" w:eastAsia="es-ES"/>
        </w:rPr>
        <w:t>naria 13</w:t>
      </w:r>
      <w:r>
        <w:rPr>
          <w:sz w:val="24"/>
          <w:szCs w:val="24"/>
          <w:lang w:val="es-ES" w:eastAsia="es-ES"/>
        </w:rPr>
        <w:softHyphen/>
        <w:t>2015 de fecha 11 de Marzo del 2015 de la Junta Directiva del Consejo de Transporte Público es un Acto Impugnable e, inclusive, fue Impugnado como tal en tiempo. Lo cierto es que su Razón de Emisión y su Contenido con los de una Evidente Impugnació</w:t>
      </w:r>
      <w:r>
        <w:rPr>
          <w:sz w:val="24"/>
          <w:szCs w:val="24"/>
          <w:lang w:val="es-ES" w:eastAsia="es-ES"/>
        </w:rPr>
        <w:t>n contra el Acuerdo No. 7.3 de la Sesión Ordinaria No. 36-2011 del año 2011 de la Junta Directiva del Consejo de Transporte Público.</w:t>
      </w:r>
    </w:p>
    <w:p w:rsidR="00000000" w:rsidRDefault="00477591">
      <w:pPr>
        <w:kinsoku w:val="0"/>
        <w:overflowPunct w:val="0"/>
        <w:autoSpaceDE/>
        <w:autoSpaceDN/>
        <w:adjustRightInd/>
        <w:spacing w:before="166" w:line="281" w:lineRule="exact"/>
        <w:ind w:left="144" w:right="144"/>
        <w:jc w:val="both"/>
        <w:textAlignment w:val="baseline"/>
        <w:rPr>
          <w:sz w:val="24"/>
          <w:szCs w:val="24"/>
          <w:lang w:val="es-ES" w:eastAsia="es-ES"/>
        </w:rPr>
      </w:pPr>
      <w:r>
        <w:rPr>
          <w:sz w:val="24"/>
          <w:szCs w:val="24"/>
          <w:lang w:val="es-ES" w:eastAsia="es-ES"/>
        </w:rPr>
        <w:t xml:space="preserve">Y es precisamente por ello que los Recursos y Acciones de manas se deben tener como Inadmisibles e Improcedentes, toda vez </w:t>
      </w:r>
      <w:r>
        <w:rPr>
          <w:sz w:val="24"/>
          <w:szCs w:val="24"/>
          <w:lang w:val="es-ES" w:eastAsia="es-ES"/>
        </w:rPr>
        <w:t>que lo que procuran Impugnar y/o que se Revoque un Acto Precedente YA EN FIRME. Buscando que por un reclamo Administrativo se expedite nuevamente la Vía Recursiva y hasta la Jurisdiccional, lo cual nos Resulta Impropio e Improcedente. Aceptar que por la ví</w:t>
      </w:r>
      <w:r>
        <w:rPr>
          <w:sz w:val="24"/>
          <w:szCs w:val="24"/>
          <w:lang w:val="es-ES" w:eastAsia="es-ES"/>
        </w:rPr>
        <w:t>a comentada se venga a Objetar el Acuerdo No. 7.3 de la Sesión Ordinaria No. 36-2011 del año 2011 de la Junta Directiva del Consejo de Transporte Público generaría la apertura de una vía impropia de impugnación, así como la posibilidad de una pluralidad in</w:t>
      </w:r>
      <w:r>
        <w:rPr>
          <w:sz w:val="24"/>
          <w:szCs w:val="24"/>
          <w:lang w:val="es-ES" w:eastAsia="es-ES"/>
        </w:rPr>
        <w:t xml:space="preserve">correcta y patológica de impugnaciones. Siendo preclaro que se trataría de la Impugnación Improcedente de un Acto por el cual </w:t>
      </w:r>
      <w:r>
        <w:rPr>
          <w:i/>
          <w:iCs/>
          <w:sz w:val="24"/>
          <w:szCs w:val="24"/>
          <w:lang w:val="es-ES" w:eastAsia="es-ES"/>
        </w:rPr>
        <w:t xml:space="preserve">--a su vez- </w:t>
      </w:r>
      <w:r>
        <w:rPr>
          <w:sz w:val="24"/>
          <w:szCs w:val="24"/>
          <w:lang w:val="es-ES" w:eastAsia="es-ES"/>
        </w:rPr>
        <w:t>se Rechaza un Reclamo y Acciones concomitantes que, tal y como se ha dicho antes, lo que buscan es IMPUGNAR y/o REVOCA</w:t>
      </w:r>
      <w:r>
        <w:rPr>
          <w:sz w:val="24"/>
          <w:szCs w:val="24"/>
          <w:lang w:val="es-ES" w:eastAsia="es-ES"/>
        </w:rPr>
        <w:t>R un Acto Firme que data del año 2011. Lo cual no es procedente y de prohijarse importaría una cadena interminable de instancias e impugnaciones, contrarias al Principio de Instancia Única.</w:t>
      </w:r>
    </w:p>
    <w:p w:rsidR="00000000" w:rsidRDefault="00477591">
      <w:pPr>
        <w:kinsoku w:val="0"/>
        <w:overflowPunct w:val="0"/>
        <w:autoSpaceDE/>
        <w:autoSpaceDN/>
        <w:adjustRightInd/>
        <w:spacing w:before="189" w:line="287" w:lineRule="exact"/>
        <w:ind w:left="144" w:right="144"/>
        <w:jc w:val="both"/>
        <w:textAlignment w:val="baseline"/>
        <w:rPr>
          <w:sz w:val="24"/>
          <w:szCs w:val="24"/>
          <w:lang w:val="es-ES" w:eastAsia="es-ES"/>
        </w:rPr>
      </w:pPr>
      <w:r>
        <w:rPr>
          <w:sz w:val="24"/>
          <w:szCs w:val="24"/>
          <w:lang w:val="es-ES" w:eastAsia="es-ES"/>
        </w:rPr>
        <w:t>Aplicable al Caso, se tiene que mediante Resolución No. TAT-2337-2</w:t>
      </w:r>
      <w:r>
        <w:rPr>
          <w:sz w:val="24"/>
          <w:szCs w:val="24"/>
          <w:lang w:val="es-ES" w:eastAsia="es-ES"/>
        </w:rPr>
        <w:t>014 de las 10:15 horas del 27 de Agosto del 2014, este Tribunal claramente determinó:</w:t>
      </w:r>
    </w:p>
    <w:p w:rsidR="00000000" w:rsidRDefault="00477591">
      <w:pPr>
        <w:widowControl/>
        <w:rPr>
          <w:sz w:val="24"/>
          <w:szCs w:val="24"/>
        </w:rPr>
        <w:sectPr w:rsidR="00000000">
          <w:pgSz w:w="12134" w:h="15840"/>
          <w:pgMar w:top="1380" w:right="1427" w:bottom="770" w:left="1587" w:header="720" w:footer="720" w:gutter="0"/>
          <w:cols w:space="720"/>
          <w:noEndnote/>
        </w:sectPr>
      </w:pPr>
    </w:p>
    <w:p w:rsidR="00000000" w:rsidRDefault="00477591">
      <w:pPr>
        <w:kinsoku w:val="0"/>
        <w:overflowPunct w:val="0"/>
        <w:autoSpaceDE/>
        <w:autoSpaceDN/>
        <w:adjustRightInd/>
        <w:spacing w:line="276" w:lineRule="exact"/>
        <w:ind w:left="648" w:right="720"/>
        <w:jc w:val="both"/>
        <w:textAlignment w:val="baseline"/>
        <w:rPr>
          <w:sz w:val="24"/>
          <w:szCs w:val="24"/>
          <w:lang w:val="es-ES" w:eastAsia="es-ES"/>
        </w:rPr>
      </w:pPr>
      <w:r>
        <w:rPr>
          <w:sz w:val="24"/>
          <w:szCs w:val="24"/>
          <w:lang w:val="es-ES" w:eastAsia="es-ES"/>
        </w:rPr>
        <w:lastRenderedPageBreak/>
        <w:t>..."Debe señalarse que el ejercicio del régimen de impugnación de los actos administrativos que resulten revisables, conlleva la preclusión de esa etap</w:t>
      </w:r>
      <w:r>
        <w:rPr>
          <w:sz w:val="24"/>
          <w:szCs w:val="24"/>
          <w:lang w:val="es-ES" w:eastAsia="es-ES"/>
        </w:rPr>
        <w:t>a procesal, de forma tal que al resolver en su oportunidad la Junta Directiva del Consejo de Transporte Público en primera instancia el recurso presentado, ello conduce obligatoriamente a la habilitación del órgano que conoce en alzada, sea, este Tribunal,</w:t>
      </w:r>
      <w:r>
        <w:rPr>
          <w:sz w:val="24"/>
          <w:szCs w:val="24"/>
          <w:lang w:val="es-ES" w:eastAsia="es-ES"/>
        </w:rPr>
        <w:t xml:space="preserve"> cuya resolución agota la vía administrativa.</w:t>
      </w:r>
    </w:p>
    <w:p w:rsidR="00000000" w:rsidRDefault="00477591">
      <w:pPr>
        <w:kinsoku w:val="0"/>
        <w:overflowPunct w:val="0"/>
        <w:autoSpaceDE/>
        <w:autoSpaceDN/>
        <w:adjustRightInd/>
        <w:spacing w:before="118" w:line="282" w:lineRule="exact"/>
        <w:ind w:left="648" w:right="720"/>
        <w:jc w:val="both"/>
        <w:textAlignment w:val="baseline"/>
        <w:rPr>
          <w:i/>
          <w:iCs/>
          <w:sz w:val="24"/>
          <w:szCs w:val="24"/>
          <w:lang w:val="es-ES" w:eastAsia="es-ES"/>
        </w:rPr>
      </w:pPr>
      <w:r>
        <w:rPr>
          <w:sz w:val="24"/>
          <w:szCs w:val="24"/>
          <w:lang w:val="es-ES" w:eastAsia="es-ES"/>
        </w:rPr>
        <w:t xml:space="preserve">En cuanto al principio de preclusión, la doctrina señala: </w:t>
      </w:r>
      <w:r>
        <w:rPr>
          <w:i/>
          <w:iCs/>
          <w:sz w:val="24"/>
          <w:szCs w:val="24"/>
          <w:lang w:val="es-ES" w:eastAsia="es-ES"/>
        </w:rPr>
        <w:t xml:space="preserve">"Está representado por el hecho de que las diversas etapas del proceso se desarrollan en forma sucesiva, mediante la clausura definitiva de cada una de </w:t>
      </w:r>
      <w:r>
        <w:rPr>
          <w:i/>
          <w:iCs/>
          <w:sz w:val="24"/>
          <w:szCs w:val="24"/>
          <w:lang w:val="es-ES" w:eastAsia="es-ES"/>
        </w:rPr>
        <w:t>ellas, impidiéndose el regreso a etapas y momentos procesales ya extinguidos y consumados. La preclusión es la pérdida, extinción o consumación de una facultad procesal." (Pacheco, Máximo, Introducción al Derecho, Editorial Jurídica de Chile, Santiago, 197</w:t>
      </w:r>
      <w:r>
        <w:rPr>
          <w:i/>
          <w:iCs/>
          <w:sz w:val="24"/>
          <w:szCs w:val="24"/>
          <w:lang w:val="es-ES" w:eastAsia="es-ES"/>
        </w:rPr>
        <w:t xml:space="preserve">6, </w:t>
      </w:r>
      <w:r>
        <w:rPr>
          <w:b/>
          <w:bCs/>
          <w:i/>
          <w:iCs/>
          <w:lang w:val="es-ES" w:eastAsia="es-ES"/>
        </w:rPr>
        <w:t xml:space="preserve">p. </w:t>
      </w:r>
      <w:r>
        <w:rPr>
          <w:i/>
          <w:iCs/>
          <w:sz w:val="24"/>
          <w:szCs w:val="24"/>
          <w:lang w:val="es-ES" w:eastAsia="es-ES"/>
        </w:rPr>
        <w:t>263)</w:t>
      </w:r>
    </w:p>
    <w:p w:rsidR="00000000" w:rsidRDefault="00477591">
      <w:pPr>
        <w:kinsoku w:val="0"/>
        <w:overflowPunct w:val="0"/>
        <w:autoSpaceDE/>
        <w:autoSpaceDN/>
        <w:adjustRightInd/>
        <w:spacing w:before="97" w:line="282" w:lineRule="exact"/>
        <w:ind w:left="648" w:right="720"/>
        <w:jc w:val="both"/>
        <w:textAlignment w:val="baseline"/>
        <w:rPr>
          <w:sz w:val="24"/>
          <w:szCs w:val="24"/>
          <w:lang w:val="es-ES" w:eastAsia="es-ES"/>
        </w:rPr>
      </w:pPr>
      <w:r>
        <w:rPr>
          <w:sz w:val="24"/>
          <w:szCs w:val="24"/>
          <w:lang w:val="es-ES" w:eastAsia="es-ES"/>
        </w:rPr>
        <w:t xml:space="preserve">Así, ante la resolución del </w:t>
      </w:r>
      <w:r>
        <w:rPr>
          <w:i/>
          <w:iCs/>
          <w:sz w:val="24"/>
          <w:szCs w:val="24"/>
          <w:lang w:val="es-ES" w:eastAsia="es-ES"/>
        </w:rPr>
        <w:t xml:space="preserve">a quo </w:t>
      </w:r>
      <w:r>
        <w:rPr>
          <w:sz w:val="24"/>
          <w:szCs w:val="24"/>
          <w:lang w:val="es-ES" w:eastAsia="es-ES"/>
        </w:rPr>
        <w:t xml:space="preserve">corresponde el apersonamiento del recurrente ante la instancia de alzada, dándole la posibilidad de referirse a los argumentos sostenidos por </w:t>
      </w:r>
      <w:r>
        <w:rPr>
          <w:b/>
          <w:bCs/>
          <w:sz w:val="24"/>
          <w:szCs w:val="24"/>
          <w:lang w:val="es-ES" w:eastAsia="es-ES"/>
        </w:rPr>
        <w:t xml:space="preserve">la </w:t>
      </w:r>
      <w:r>
        <w:rPr>
          <w:sz w:val="24"/>
          <w:szCs w:val="24"/>
          <w:lang w:val="es-ES" w:eastAsia="es-ES"/>
        </w:rPr>
        <w:t>Administración, como fundamento de la resolució</w:t>
      </w:r>
      <w:r>
        <w:rPr>
          <w:sz w:val="24"/>
          <w:szCs w:val="24"/>
          <w:lang w:val="es-ES" w:eastAsia="es-ES"/>
        </w:rPr>
        <w:t>n adoptada pero de ninguna manera resulta procedente la impugnación de dicho acto, por cuanto deviene en inimpugnable por su naturaleza, pues lo contrario dará lugar a un trámite inmerso en un círculo vicioso sin fin."...</w:t>
      </w:r>
    </w:p>
    <w:p w:rsidR="00000000" w:rsidRDefault="00477591">
      <w:pPr>
        <w:kinsoku w:val="0"/>
        <w:overflowPunct w:val="0"/>
        <w:autoSpaceDE/>
        <w:autoSpaceDN/>
        <w:adjustRightInd/>
        <w:spacing w:before="396" w:line="282" w:lineRule="exact"/>
        <w:ind w:left="72"/>
        <w:textAlignment w:val="baseline"/>
        <w:rPr>
          <w:i/>
          <w:iCs/>
          <w:sz w:val="24"/>
          <w:szCs w:val="24"/>
          <w:lang w:val="es-ES" w:eastAsia="es-ES"/>
        </w:rPr>
      </w:pPr>
      <w:r>
        <w:rPr>
          <w:sz w:val="24"/>
          <w:szCs w:val="24"/>
          <w:lang w:val="es-ES" w:eastAsia="es-ES"/>
        </w:rPr>
        <w:t>Aplicando lo anterior plenamente e</w:t>
      </w:r>
      <w:r>
        <w:rPr>
          <w:sz w:val="24"/>
          <w:szCs w:val="24"/>
          <w:lang w:val="es-ES" w:eastAsia="es-ES"/>
        </w:rPr>
        <w:t xml:space="preserve">n cuanto al caso de </w:t>
      </w:r>
      <w:r>
        <w:rPr>
          <w:i/>
          <w:iCs/>
          <w:sz w:val="24"/>
          <w:szCs w:val="24"/>
          <w:lang w:val="es-ES" w:eastAsia="es-ES"/>
        </w:rPr>
        <w:t>rito.</w:t>
      </w:r>
    </w:p>
    <w:p w:rsidR="00000000" w:rsidRDefault="00477591">
      <w:pPr>
        <w:kinsoku w:val="0"/>
        <w:overflowPunct w:val="0"/>
        <w:autoSpaceDE/>
        <w:autoSpaceDN/>
        <w:adjustRightInd/>
        <w:spacing w:before="386" w:line="282" w:lineRule="exact"/>
        <w:ind w:left="72" w:right="144"/>
        <w:jc w:val="both"/>
        <w:textAlignment w:val="baseline"/>
        <w:rPr>
          <w:sz w:val="24"/>
          <w:szCs w:val="24"/>
          <w:lang w:val="es-ES" w:eastAsia="es-ES"/>
        </w:rPr>
      </w:pPr>
      <w:r>
        <w:rPr>
          <w:sz w:val="24"/>
          <w:szCs w:val="24"/>
          <w:lang w:val="es-ES" w:eastAsia="es-ES"/>
        </w:rPr>
        <w:t>Además, visto que el Acuerdo No. 7.3 de la Sesión Ordinaria No. 36-2011 data del año 2011 y es un Acto Firme, sus cuestionamientos a posteriori, por lo menos en el ejercicio indebido de Impugnaciones Veladas, determina que en el p</w:t>
      </w:r>
      <w:r>
        <w:rPr>
          <w:sz w:val="24"/>
          <w:szCs w:val="24"/>
          <w:lang w:val="es-ES" w:eastAsia="es-ES"/>
        </w:rPr>
        <w:t>resente Asunto No se evidencia un Interés Actual. Situación real ante la cual la Acción Recursiva que se ha elevado y que se atiende por este medio deviene en improcedente. En cuanto a lo anterior el autor y conocido tratadista jurídico, José Chiovenda, mu</w:t>
      </w:r>
      <w:r>
        <w:rPr>
          <w:sz w:val="24"/>
          <w:szCs w:val="24"/>
          <w:lang w:val="es-ES" w:eastAsia="es-ES"/>
        </w:rPr>
        <w:t>y claramente nos indica:</w:t>
      </w:r>
    </w:p>
    <w:p w:rsidR="00000000" w:rsidRDefault="00477591">
      <w:pPr>
        <w:kinsoku w:val="0"/>
        <w:overflowPunct w:val="0"/>
        <w:autoSpaceDE/>
        <w:autoSpaceDN/>
        <w:adjustRightInd/>
        <w:spacing w:before="455" w:line="282" w:lineRule="exact"/>
        <w:ind w:left="648" w:right="720"/>
        <w:jc w:val="both"/>
        <w:textAlignment w:val="baseline"/>
        <w:rPr>
          <w:spacing w:val="3"/>
          <w:sz w:val="24"/>
          <w:szCs w:val="24"/>
          <w:lang w:val="es-ES" w:eastAsia="es-ES"/>
        </w:rPr>
      </w:pPr>
      <w:r>
        <w:rPr>
          <w:spacing w:val="3"/>
          <w:sz w:val="24"/>
          <w:szCs w:val="24"/>
          <w:lang w:val="es-ES" w:eastAsia="es-ES"/>
        </w:rPr>
        <w:t xml:space="preserve">..."En todo proceso, existen los presupuestos de fondo, relacionados con el derecho tutelar de la pretensión, la legitimación en la causa y </w:t>
      </w:r>
      <w:r>
        <w:rPr>
          <w:b/>
          <w:bCs/>
          <w:spacing w:val="3"/>
          <w:sz w:val="24"/>
          <w:szCs w:val="24"/>
          <w:u w:val="single"/>
          <w:lang w:val="es-ES" w:eastAsia="es-ES"/>
        </w:rPr>
        <w:t xml:space="preserve">el interés actual. </w:t>
      </w:r>
      <w:r>
        <w:rPr>
          <w:b/>
          <w:bCs/>
          <w:spacing w:val="3"/>
          <w:sz w:val="24"/>
          <w:szCs w:val="24"/>
          <w:lang w:val="es-ES" w:eastAsia="es-ES"/>
        </w:rPr>
        <w:t>Sí es entendido que una acción deviene en frustránea cuando falta cualqu</w:t>
      </w:r>
      <w:r>
        <w:rPr>
          <w:b/>
          <w:bCs/>
          <w:spacing w:val="3"/>
          <w:sz w:val="24"/>
          <w:szCs w:val="24"/>
          <w:lang w:val="es-ES" w:eastAsia="es-ES"/>
        </w:rPr>
        <w:t xml:space="preserve">iera de los presupuestos de fondo: </w:t>
      </w:r>
      <w:r>
        <w:rPr>
          <w:spacing w:val="3"/>
          <w:sz w:val="24"/>
          <w:szCs w:val="24"/>
          <w:lang w:val="es-ES" w:eastAsia="es-ES"/>
        </w:rPr>
        <w:t xml:space="preserve">derecho real o personal, </w:t>
      </w:r>
      <w:r>
        <w:rPr>
          <w:b/>
          <w:bCs/>
          <w:spacing w:val="3"/>
          <w:sz w:val="24"/>
          <w:szCs w:val="24"/>
          <w:lang w:val="es-ES" w:eastAsia="es-ES"/>
        </w:rPr>
        <w:t xml:space="preserve">interés actual </w:t>
      </w:r>
      <w:r>
        <w:rPr>
          <w:spacing w:val="3"/>
          <w:sz w:val="24"/>
          <w:szCs w:val="24"/>
          <w:lang w:val="es-ES" w:eastAsia="es-ES"/>
        </w:rPr>
        <w:t>y legitimación. En las causas sometidas a su conocimiento, el Juez está obligado a realizar, incluso, en forma oficiosa, los presupuestos de toda demanda, a saber: derecho, legitima</w:t>
      </w:r>
      <w:r>
        <w:rPr>
          <w:spacing w:val="3"/>
          <w:sz w:val="24"/>
          <w:szCs w:val="24"/>
          <w:lang w:val="es-ES" w:eastAsia="es-ES"/>
        </w:rPr>
        <w:t xml:space="preserve">ción (activa o pasiva) y el interés actual."... (Chiovenda, José: </w:t>
      </w:r>
      <w:r>
        <w:rPr>
          <w:b/>
          <w:bCs/>
          <w:i/>
          <w:iCs/>
          <w:spacing w:val="3"/>
          <w:sz w:val="24"/>
          <w:szCs w:val="24"/>
          <w:u w:val="single"/>
          <w:lang w:val="es-ES" w:eastAsia="es-ES"/>
        </w:rPr>
        <w:t>Principios de Derecho Procesal Civil,</w:t>
      </w:r>
      <w:r>
        <w:rPr>
          <w:spacing w:val="3"/>
          <w:sz w:val="24"/>
          <w:szCs w:val="24"/>
          <w:lang w:val="es-ES" w:eastAsia="es-ES"/>
        </w:rPr>
        <w:t xml:space="preserve"> Tomo </w:t>
      </w:r>
      <w:r>
        <w:rPr>
          <w:b/>
          <w:bCs/>
          <w:spacing w:val="3"/>
          <w:sz w:val="24"/>
          <w:szCs w:val="24"/>
          <w:lang w:val="es-ES" w:eastAsia="es-ES"/>
        </w:rPr>
        <w:t xml:space="preserve">I, </w:t>
      </w:r>
      <w:r>
        <w:rPr>
          <w:spacing w:val="3"/>
          <w:sz w:val="24"/>
          <w:szCs w:val="24"/>
          <w:lang w:val="es-ES" w:eastAsia="es-ES"/>
        </w:rPr>
        <w:t>Pág. 178).</w:t>
      </w:r>
    </w:p>
    <w:p w:rsidR="00000000" w:rsidRDefault="00477591">
      <w:pPr>
        <w:kinsoku w:val="0"/>
        <w:overflowPunct w:val="0"/>
        <w:autoSpaceDE/>
        <w:autoSpaceDN/>
        <w:adjustRightInd/>
        <w:spacing w:before="758" w:after="722" w:line="288" w:lineRule="exact"/>
        <w:ind w:left="72" w:right="144"/>
        <w:jc w:val="both"/>
        <w:textAlignment w:val="baseline"/>
        <w:rPr>
          <w:sz w:val="24"/>
          <w:szCs w:val="24"/>
          <w:lang w:val="es-ES" w:eastAsia="es-ES"/>
        </w:rPr>
      </w:pPr>
      <w:r>
        <w:rPr>
          <w:sz w:val="24"/>
          <w:szCs w:val="24"/>
          <w:lang w:val="es-ES" w:eastAsia="es-ES"/>
        </w:rPr>
        <w:t xml:space="preserve">Y nuestro Jurista el Dr. Eduardo Ortiz Ortiz, en su TESIS DE DERECHO ADMINISTRATIVO, Tomo </w:t>
      </w:r>
      <w:r>
        <w:rPr>
          <w:b/>
          <w:bCs/>
          <w:sz w:val="24"/>
          <w:szCs w:val="24"/>
          <w:lang w:val="es-ES" w:eastAsia="es-ES"/>
        </w:rPr>
        <w:t xml:space="preserve">II, </w:t>
      </w:r>
      <w:r>
        <w:rPr>
          <w:sz w:val="24"/>
          <w:szCs w:val="24"/>
          <w:lang w:val="es-ES" w:eastAsia="es-ES"/>
        </w:rPr>
        <w:t>señala:</w:t>
      </w:r>
    </w:p>
    <w:p w:rsidR="00000000" w:rsidRDefault="00477591">
      <w:pPr>
        <w:widowControl/>
        <w:rPr>
          <w:sz w:val="24"/>
          <w:szCs w:val="24"/>
        </w:rPr>
        <w:sectPr w:rsidR="00000000">
          <w:pgSz w:w="12134" w:h="15840"/>
          <w:pgMar w:top="1400" w:right="1430" w:bottom="240" w:left="1584" w:header="720" w:footer="720" w:gutter="0"/>
          <w:cols w:space="720"/>
          <w:noEndnote/>
        </w:sectPr>
      </w:pPr>
    </w:p>
    <w:p w:rsidR="00000000" w:rsidRDefault="00477591">
      <w:pPr>
        <w:widowControl/>
        <w:rPr>
          <w:sz w:val="24"/>
          <w:szCs w:val="24"/>
        </w:rPr>
        <w:sectPr w:rsidR="00000000">
          <w:type w:val="continuous"/>
          <w:pgSz w:w="12134" w:h="15840"/>
          <w:pgMar w:top="1400" w:right="888" w:bottom="240" w:left="7786" w:header="720" w:footer="720" w:gutter="0"/>
          <w:cols w:space="720"/>
          <w:noEndnote/>
        </w:sectPr>
      </w:pPr>
    </w:p>
    <w:p w:rsidR="004F68A6" w:rsidRDefault="004F68A6">
      <w:pPr>
        <w:kinsoku w:val="0"/>
        <w:overflowPunct w:val="0"/>
        <w:autoSpaceDE/>
        <w:autoSpaceDN/>
        <w:adjustRightInd/>
        <w:spacing w:line="216" w:lineRule="exact"/>
        <w:jc w:val="both"/>
        <w:textAlignment w:val="baseline"/>
        <w:rPr>
          <w:rFonts w:ascii="Garamond" w:hAnsi="Garamond" w:cs="Garamond"/>
          <w:b/>
          <w:bCs/>
          <w:spacing w:val="5"/>
          <w:sz w:val="22"/>
          <w:szCs w:val="22"/>
          <w:lang w:val="es-ES" w:eastAsia="es-ES"/>
        </w:rPr>
      </w:pPr>
    </w:p>
    <w:p w:rsidR="004F68A6" w:rsidRDefault="004F68A6">
      <w:pPr>
        <w:kinsoku w:val="0"/>
        <w:overflowPunct w:val="0"/>
        <w:autoSpaceDE/>
        <w:autoSpaceDN/>
        <w:adjustRightInd/>
        <w:spacing w:line="216" w:lineRule="exact"/>
        <w:jc w:val="both"/>
        <w:textAlignment w:val="baseline"/>
        <w:rPr>
          <w:rFonts w:ascii="Garamond" w:hAnsi="Garamond" w:cs="Garamond"/>
          <w:b/>
          <w:bCs/>
          <w:spacing w:val="5"/>
          <w:sz w:val="22"/>
          <w:szCs w:val="22"/>
          <w:lang w:val="es-ES" w:eastAsia="es-ES"/>
        </w:rPr>
      </w:pPr>
    </w:p>
    <w:p w:rsidR="004F68A6" w:rsidRDefault="004F68A6">
      <w:pPr>
        <w:kinsoku w:val="0"/>
        <w:overflowPunct w:val="0"/>
        <w:autoSpaceDE/>
        <w:autoSpaceDN/>
        <w:adjustRightInd/>
        <w:spacing w:line="216" w:lineRule="exact"/>
        <w:jc w:val="both"/>
        <w:textAlignment w:val="baseline"/>
        <w:rPr>
          <w:rFonts w:ascii="Garamond" w:hAnsi="Garamond" w:cs="Garamond"/>
          <w:b/>
          <w:bCs/>
          <w:spacing w:val="5"/>
          <w:sz w:val="22"/>
          <w:szCs w:val="22"/>
          <w:lang w:val="es-ES" w:eastAsia="es-ES"/>
        </w:rPr>
      </w:pPr>
    </w:p>
    <w:p w:rsidR="00477591" w:rsidRDefault="00477591" w:rsidP="004F68A6">
      <w:pPr>
        <w:kinsoku w:val="0"/>
        <w:overflowPunct w:val="0"/>
        <w:autoSpaceDE/>
        <w:autoSpaceDN/>
        <w:adjustRightInd/>
        <w:spacing w:line="216" w:lineRule="exact"/>
        <w:ind w:left="851" w:right="756"/>
        <w:jc w:val="both"/>
        <w:textAlignment w:val="baseline"/>
        <w:rPr>
          <w:b/>
          <w:bCs/>
          <w:spacing w:val="5"/>
          <w:sz w:val="22"/>
          <w:szCs w:val="22"/>
          <w:lang w:val="es-ES" w:eastAsia="es-ES"/>
        </w:rPr>
      </w:pPr>
    </w:p>
    <w:p w:rsidR="00477591" w:rsidRDefault="00477591" w:rsidP="004F68A6">
      <w:pPr>
        <w:kinsoku w:val="0"/>
        <w:overflowPunct w:val="0"/>
        <w:autoSpaceDE/>
        <w:autoSpaceDN/>
        <w:adjustRightInd/>
        <w:spacing w:line="216" w:lineRule="exact"/>
        <w:ind w:left="851" w:right="756"/>
        <w:jc w:val="both"/>
        <w:textAlignment w:val="baseline"/>
        <w:rPr>
          <w:b/>
          <w:bCs/>
          <w:spacing w:val="5"/>
          <w:sz w:val="22"/>
          <w:szCs w:val="22"/>
          <w:lang w:val="es-ES" w:eastAsia="es-ES"/>
        </w:rPr>
      </w:pPr>
    </w:p>
    <w:p w:rsidR="00000000" w:rsidRPr="004F68A6" w:rsidRDefault="00477591" w:rsidP="004F68A6">
      <w:pPr>
        <w:kinsoku w:val="0"/>
        <w:overflowPunct w:val="0"/>
        <w:autoSpaceDE/>
        <w:autoSpaceDN/>
        <w:adjustRightInd/>
        <w:spacing w:line="216" w:lineRule="exact"/>
        <w:ind w:left="851" w:right="756"/>
        <w:jc w:val="both"/>
        <w:textAlignment w:val="baseline"/>
        <w:rPr>
          <w:b/>
          <w:bCs/>
          <w:spacing w:val="5"/>
          <w:sz w:val="22"/>
          <w:szCs w:val="22"/>
          <w:lang w:val="es-ES" w:eastAsia="es-ES"/>
        </w:rPr>
      </w:pPr>
      <w:bookmarkStart w:id="0" w:name="_GoBack"/>
      <w:bookmarkEnd w:id="0"/>
      <w:r w:rsidRPr="004F68A6">
        <w:rPr>
          <w:b/>
          <w:bCs/>
          <w:spacing w:val="5"/>
          <w:sz w:val="22"/>
          <w:szCs w:val="22"/>
          <w:lang w:val="es-ES" w:eastAsia="es-ES"/>
        </w:rPr>
        <w:lastRenderedPageBreak/>
        <w:t>b) El interés debe ser actual</w:t>
      </w:r>
    </w:p>
    <w:p w:rsidR="004F68A6" w:rsidRDefault="004F68A6" w:rsidP="004F68A6">
      <w:pPr>
        <w:kinsoku w:val="0"/>
        <w:overflowPunct w:val="0"/>
        <w:autoSpaceDE/>
        <w:autoSpaceDN/>
        <w:adjustRightInd/>
        <w:spacing w:line="216" w:lineRule="exact"/>
        <w:ind w:left="851" w:right="756"/>
        <w:jc w:val="both"/>
        <w:textAlignment w:val="baseline"/>
        <w:rPr>
          <w:rFonts w:ascii="Garamond" w:hAnsi="Garamond" w:cs="Garamond"/>
          <w:b/>
          <w:bCs/>
          <w:spacing w:val="5"/>
          <w:sz w:val="22"/>
          <w:szCs w:val="22"/>
          <w:lang w:val="es-ES" w:eastAsia="es-ES"/>
        </w:rPr>
      </w:pPr>
    </w:p>
    <w:p w:rsidR="004F68A6" w:rsidRPr="004F68A6" w:rsidRDefault="004F68A6" w:rsidP="004F68A6">
      <w:pPr>
        <w:kinsoku w:val="0"/>
        <w:overflowPunct w:val="0"/>
        <w:autoSpaceDE/>
        <w:autoSpaceDN/>
        <w:adjustRightInd/>
        <w:spacing w:line="216" w:lineRule="exact"/>
        <w:ind w:left="851" w:right="756"/>
        <w:jc w:val="both"/>
        <w:textAlignment w:val="baseline"/>
        <w:rPr>
          <w:bCs/>
          <w:spacing w:val="5"/>
          <w:sz w:val="22"/>
          <w:szCs w:val="22"/>
          <w:lang w:val="es-ES" w:eastAsia="es-ES"/>
        </w:rPr>
      </w:pPr>
      <w:r w:rsidRPr="004F68A6">
        <w:rPr>
          <w:bCs/>
          <w:spacing w:val="5"/>
          <w:sz w:val="22"/>
          <w:szCs w:val="22"/>
          <w:lang w:val="es-ES" w:eastAsia="es-ES"/>
        </w:rPr>
        <w:t>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da un acto definitivo ya eficaz y completo en todas sus fases, incluso en la integrativa (de su acto), aunque no es necesario que haya sido ya efectuado. Sólo cuando se ha completado el procedimiento administrativo tendiente a la producción definitiva del efecto – aunque sólo sea en primera instancia- la lesión puede producirse y considerarse actual y no futura. En consecuencia, la actualidad no se da cuando se trata de actos no definitivos (preparatorios) o de actos pendientes (ausencia de elementos de perfección necesarios para la formación o constitución del acto) o de actos ineficaces.</w:t>
      </w:r>
    </w:p>
    <w:p w:rsidR="00000000" w:rsidRDefault="00477591">
      <w:pPr>
        <w:kinsoku w:val="0"/>
        <w:overflowPunct w:val="0"/>
        <w:autoSpaceDE/>
        <w:autoSpaceDN/>
        <w:adjustRightInd/>
        <w:spacing w:before="376" w:line="283" w:lineRule="exact"/>
        <w:ind w:left="72"/>
        <w:jc w:val="center"/>
        <w:textAlignment w:val="baseline"/>
        <w:rPr>
          <w:b/>
          <w:bCs/>
          <w:i/>
          <w:iCs/>
          <w:sz w:val="24"/>
          <w:szCs w:val="24"/>
          <w:lang w:val="es-ES" w:eastAsia="es-ES"/>
        </w:rPr>
      </w:pPr>
      <w:r>
        <w:rPr>
          <w:b/>
          <w:bCs/>
          <w:i/>
          <w:iCs/>
          <w:sz w:val="24"/>
          <w:szCs w:val="24"/>
          <w:lang w:val="es-ES" w:eastAsia="es-ES"/>
        </w:rPr>
        <w:t>Por Tanto:</w:t>
      </w:r>
    </w:p>
    <w:p w:rsidR="00000000" w:rsidRDefault="004F68A6" w:rsidP="004F68A6">
      <w:pPr>
        <w:kinsoku w:val="0"/>
        <w:overflowPunct w:val="0"/>
        <w:autoSpaceDE/>
        <w:autoSpaceDN/>
        <w:adjustRightInd/>
        <w:spacing w:before="408" w:line="280" w:lineRule="exact"/>
        <w:ind w:left="72" w:right="72"/>
        <w:jc w:val="both"/>
        <w:textAlignment w:val="baseline"/>
        <w:rPr>
          <w:spacing w:val="3"/>
          <w:sz w:val="24"/>
          <w:szCs w:val="24"/>
          <w:lang w:val="es-ES" w:eastAsia="es-ES"/>
        </w:rPr>
      </w:pPr>
      <w:r>
        <w:rPr>
          <w:spacing w:val="3"/>
          <w:sz w:val="24"/>
          <w:szCs w:val="24"/>
          <w:lang w:val="es-ES" w:eastAsia="es-ES"/>
        </w:rPr>
        <w:t xml:space="preserve">I. </w:t>
      </w:r>
      <w:r w:rsidR="00477591">
        <w:rPr>
          <w:spacing w:val="3"/>
          <w:sz w:val="24"/>
          <w:szCs w:val="24"/>
          <w:lang w:val="es-ES" w:eastAsia="es-ES"/>
        </w:rPr>
        <w:t xml:space="preserve">Conforme a </w:t>
      </w:r>
      <w:r w:rsidR="00477591">
        <w:rPr>
          <w:rFonts w:ascii="Garamond" w:hAnsi="Garamond" w:cs="Garamond"/>
          <w:b/>
          <w:bCs/>
          <w:spacing w:val="3"/>
          <w:sz w:val="22"/>
          <w:szCs w:val="22"/>
          <w:lang w:val="es-ES" w:eastAsia="es-ES"/>
        </w:rPr>
        <w:t xml:space="preserve">lo expresado </w:t>
      </w:r>
      <w:r w:rsidR="00477591">
        <w:rPr>
          <w:rFonts w:ascii="Garamond" w:hAnsi="Garamond" w:cs="Garamond"/>
          <w:i/>
          <w:iCs/>
          <w:spacing w:val="3"/>
          <w:sz w:val="22"/>
          <w:szCs w:val="22"/>
          <w:lang w:val="es-ES" w:eastAsia="es-ES"/>
        </w:rPr>
        <w:t xml:space="preserve">supra, </w:t>
      </w:r>
      <w:r w:rsidR="00477591">
        <w:rPr>
          <w:spacing w:val="3"/>
          <w:sz w:val="24"/>
          <w:szCs w:val="24"/>
          <w:lang w:val="es-ES" w:eastAsia="es-ES"/>
        </w:rPr>
        <w:t xml:space="preserve">se dispone el </w:t>
      </w:r>
      <w:r w:rsidR="00477591">
        <w:rPr>
          <w:rFonts w:ascii="Garamond" w:hAnsi="Garamond" w:cs="Garamond"/>
          <w:b/>
          <w:bCs/>
          <w:spacing w:val="3"/>
          <w:sz w:val="22"/>
          <w:szCs w:val="22"/>
          <w:u w:val="single"/>
          <w:lang w:val="es-ES" w:eastAsia="es-ES"/>
        </w:rPr>
        <w:t>RECHAZO</w:t>
      </w:r>
      <w:r w:rsidR="00477591">
        <w:rPr>
          <w:spacing w:val="3"/>
          <w:sz w:val="24"/>
          <w:szCs w:val="24"/>
          <w:lang w:val="es-ES" w:eastAsia="es-ES"/>
        </w:rPr>
        <w:t xml:space="preserve"> del </w:t>
      </w:r>
      <w:r w:rsidR="00477591">
        <w:rPr>
          <w:rFonts w:ascii="Garamond" w:hAnsi="Garamond" w:cs="Garamond"/>
          <w:b/>
          <w:bCs/>
          <w:spacing w:val="3"/>
          <w:sz w:val="22"/>
          <w:szCs w:val="22"/>
          <w:lang w:val="es-ES" w:eastAsia="es-ES"/>
        </w:rPr>
        <w:t xml:space="preserve">RECURSO DE APELACIÓN </w:t>
      </w:r>
      <w:r w:rsidR="00477591">
        <w:rPr>
          <w:spacing w:val="3"/>
          <w:sz w:val="24"/>
          <w:szCs w:val="24"/>
          <w:lang w:val="es-ES" w:eastAsia="es-ES"/>
        </w:rPr>
        <w:t xml:space="preserve">en subsidio y </w:t>
      </w:r>
      <w:r w:rsidR="00477591">
        <w:rPr>
          <w:rFonts w:ascii="Garamond" w:hAnsi="Garamond" w:cs="Garamond"/>
          <w:b/>
          <w:bCs/>
          <w:spacing w:val="3"/>
          <w:sz w:val="22"/>
          <w:szCs w:val="22"/>
          <w:lang w:val="es-ES" w:eastAsia="es-ES"/>
        </w:rPr>
        <w:t xml:space="preserve">del INCIDENTE DE NULIDAD </w:t>
      </w:r>
      <w:r w:rsidR="00477591">
        <w:rPr>
          <w:spacing w:val="3"/>
          <w:sz w:val="24"/>
          <w:szCs w:val="24"/>
          <w:lang w:val="es-ES" w:eastAsia="es-ES"/>
        </w:rPr>
        <w:t xml:space="preserve">interpuestos por el Señor </w:t>
      </w:r>
      <w:r w:rsidR="00477591">
        <w:rPr>
          <w:rFonts w:ascii="Garamond" w:hAnsi="Garamond" w:cs="Garamond"/>
          <w:b/>
          <w:bCs/>
          <w:spacing w:val="3"/>
          <w:sz w:val="22"/>
          <w:szCs w:val="22"/>
          <w:lang w:val="es-ES" w:eastAsia="es-ES"/>
        </w:rPr>
        <w:t>E</w:t>
      </w:r>
      <w:r w:rsidR="00F12FD1">
        <w:rPr>
          <w:rFonts w:ascii="Garamond" w:hAnsi="Garamond" w:cs="Garamond"/>
          <w:b/>
          <w:bCs/>
          <w:spacing w:val="3"/>
          <w:sz w:val="22"/>
          <w:szCs w:val="22"/>
          <w:lang w:val="es-ES" w:eastAsia="es-ES"/>
        </w:rPr>
        <w:t>.R.B.</w:t>
      </w:r>
      <w:r w:rsidR="00477591">
        <w:rPr>
          <w:rFonts w:ascii="Garamond" w:hAnsi="Garamond" w:cs="Garamond"/>
          <w:b/>
          <w:bCs/>
          <w:spacing w:val="3"/>
          <w:sz w:val="22"/>
          <w:szCs w:val="22"/>
          <w:lang w:val="es-ES" w:eastAsia="es-ES"/>
        </w:rPr>
        <w:t xml:space="preserve">, </w:t>
      </w:r>
      <w:r w:rsidR="00477591">
        <w:rPr>
          <w:spacing w:val="3"/>
          <w:sz w:val="24"/>
          <w:szCs w:val="24"/>
          <w:lang w:val="es-ES" w:eastAsia="es-ES"/>
        </w:rPr>
        <w:t>de cal</w:t>
      </w:r>
      <w:r w:rsidR="00477591">
        <w:rPr>
          <w:spacing w:val="3"/>
          <w:sz w:val="24"/>
          <w:szCs w:val="24"/>
          <w:lang w:val="es-ES" w:eastAsia="es-ES"/>
        </w:rPr>
        <w:t xml:space="preserve">idades conocidas, portador de la cédula de identidad número </w:t>
      </w:r>
      <w:r w:rsidR="00F12FD1">
        <w:rPr>
          <w:spacing w:val="3"/>
          <w:sz w:val="24"/>
          <w:szCs w:val="24"/>
          <w:lang w:val="es-ES" w:eastAsia="es-ES"/>
        </w:rPr>
        <w:t>…</w:t>
      </w:r>
      <w:r w:rsidR="00477591">
        <w:rPr>
          <w:spacing w:val="3"/>
          <w:sz w:val="24"/>
          <w:szCs w:val="24"/>
          <w:lang w:val="es-ES" w:eastAsia="es-ES"/>
        </w:rPr>
        <w:t xml:space="preserve">, en su calidad de Representante y Apoderado Generalísimo sin límite de suma de la Sociedad de esta plaza, </w:t>
      </w:r>
      <w:r w:rsidR="00477591">
        <w:rPr>
          <w:rFonts w:ascii="Garamond" w:hAnsi="Garamond" w:cs="Garamond"/>
          <w:b/>
          <w:bCs/>
          <w:spacing w:val="3"/>
          <w:sz w:val="22"/>
          <w:szCs w:val="22"/>
          <w:lang w:val="es-ES" w:eastAsia="es-ES"/>
        </w:rPr>
        <w:t>A</w:t>
      </w:r>
      <w:r w:rsidR="00F12FD1">
        <w:rPr>
          <w:rFonts w:ascii="Garamond" w:hAnsi="Garamond" w:cs="Garamond"/>
          <w:b/>
          <w:bCs/>
          <w:spacing w:val="3"/>
          <w:sz w:val="22"/>
          <w:szCs w:val="22"/>
          <w:lang w:val="es-ES" w:eastAsia="es-ES"/>
        </w:rPr>
        <w:t>.C.S.A.</w:t>
      </w:r>
      <w:r w:rsidR="00477591">
        <w:rPr>
          <w:rFonts w:ascii="Garamond" w:hAnsi="Garamond" w:cs="Garamond"/>
          <w:b/>
          <w:bCs/>
          <w:spacing w:val="3"/>
          <w:sz w:val="22"/>
          <w:szCs w:val="22"/>
          <w:lang w:val="es-ES" w:eastAsia="es-ES"/>
        </w:rPr>
        <w:t xml:space="preserve">, </w:t>
      </w:r>
      <w:r w:rsidR="00477591">
        <w:rPr>
          <w:spacing w:val="3"/>
          <w:sz w:val="24"/>
          <w:szCs w:val="24"/>
          <w:lang w:val="es-ES" w:eastAsia="es-ES"/>
        </w:rPr>
        <w:t xml:space="preserve">cédula de persona jurídica número </w:t>
      </w:r>
      <w:r w:rsidR="00F12FD1">
        <w:rPr>
          <w:spacing w:val="3"/>
          <w:sz w:val="24"/>
          <w:szCs w:val="24"/>
          <w:lang w:val="es-ES" w:eastAsia="es-ES"/>
        </w:rPr>
        <w:t>…</w:t>
      </w:r>
      <w:r w:rsidR="00477591">
        <w:rPr>
          <w:spacing w:val="3"/>
          <w:sz w:val="24"/>
          <w:szCs w:val="24"/>
          <w:lang w:val="es-ES" w:eastAsia="es-ES"/>
        </w:rPr>
        <w:t>, con</w:t>
      </w:r>
      <w:r w:rsidR="00477591">
        <w:rPr>
          <w:spacing w:val="3"/>
          <w:sz w:val="24"/>
          <w:szCs w:val="24"/>
          <w:lang w:val="es-ES" w:eastAsia="es-ES"/>
        </w:rPr>
        <w:t>tra el Acuerdo No. 7.9 de la Sesión Ordinaria 13-2015 de fecha 11 de Marzo del 2015, de la Junta Directiva del Consejo de Transporte Público.</w:t>
      </w:r>
    </w:p>
    <w:p w:rsidR="00000000" w:rsidRPr="00F12FD1" w:rsidRDefault="00477591">
      <w:pPr>
        <w:kinsoku w:val="0"/>
        <w:overflowPunct w:val="0"/>
        <w:autoSpaceDE/>
        <w:autoSpaceDN/>
        <w:adjustRightInd/>
        <w:spacing w:before="193" w:line="282" w:lineRule="exact"/>
        <w:ind w:left="72" w:right="72"/>
        <w:jc w:val="both"/>
        <w:textAlignment w:val="baseline"/>
        <w:rPr>
          <w:i/>
          <w:iCs/>
          <w:sz w:val="22"/>
          <w:szCs w:val="22"/>
          <w:lang w:val="es-ES" w:eastAsia="es-ES"/>
        </w:rPr>
      </w:pPr>
      <w:r>
        <w:rPr>
          <w:rFonts w:ascii="Garamond" w:hAnsi="Garamond" w:cs="Garamond"/>
          <w:b/>
          <w:bCs/>
          <w:sz w:val="22"/>
          <w:szCs w:val="22"/>
          <w:lang w:val="es-ES" w:eastAsia="es-ES"/>
        </w:rPr>
        <w:t xml:space="preserve">II.- </w:t>
      </w:r>
      <w:r>
        <w:rPr>
          <w:sz w:val="24"/>
          <w:szCs w:val="24"/>
          <w:lang w:val="es-ES" w:eastAsia="es-ES"/>
        </w:rPr>
        <w:t xml:space="preserve">Por carecer la </w:t>
      </w:r>
      <w:r>
        <w:rPr>
          <w:rFonts w:ascii="Garamond" w:hAnsi="Garamond" w:cs="Garamond"/>
          <w:b/>
          <w:bCs/>
          <w:sz w:val="22"/>
          <w:szCs w:val="22"/>
          <w:lang w:val="es-ES" w:eastAsia="es-ES"/>
        </w:rPr>
        <w:t xml:space="preserve">presente </w:t>
      </w:r>
      <w:r>
        <w:rPr>
          <w:sz w:val="24"/>
          <w:szCs w:val="24"/>
          <w:lang w:val="es-ES" w:eastAsia="es-ES"/>
        </w:rPr>
        <w:t>resolución de ulterior recurso en sede administrativa, de conformidad con los artí</w:t>
      </w:r>
      <w:r>
        <w:rPr>
          <w:sz w:val="24"/>
          <w:szCs w:val="24"/>
          <w:lang w:val="es-ES" w:eastAsia="es-ES"/>
        </w:rPr>
        <w:t xml:space="preserve">culos 16 y 22, inciso c), de la Ley 7969, </w:t>
      </w:r>
      <w:r w:rsidRPr="00F12FD1">
        <w:rPr>
          <w:i/>
          <w:iCs/>
          <w:sz w:val="22"/>
          <w:szCs w:val="22"/>
          <w:lang w:val="es-ES" w:eastAsia="es-ES"/>
        </w:rPr>
        <w:t>se da por agotada la vía administrativa.</w:t>
      </w:r>
    </w:p>
    <w:p w:rsidR="00000000" w:rsidRDefault="00477591">
      <w:pPr>
        <w:kinsoku w:val="0"/>
        <w:overflowPunct w:val="0"/>
        <w:autoSpaceDE/>
        <w:autoSpaceDN/>
        <w:adjustRightInd/>
        <w:spacing w:before="290" w:line="284" w:lineRule="exact"/>
        <w:ind w:left="72"/>
        <w:textAlignment w:val="baseline"/>
        <w:rPr>
          <w:b/>
          <w:bCs/>
          <w:i/>
          <w:iCs/>
          <w:sz w:val="24"/>
          <w:szCs w:val="24"/>
          <w:lang w:val="es-ES" w:eastAsia="es-ES"/>
        </w:rPr>
      </w:pPr>
      <w:r>
        <w:rPr>
          <w:b/>
          <w:bCs/>
          <w:i/>
          <w:iCs/>
          <w:sz w:val="24"/>
          <w:szCs w:val="24"/>
          <w:lang w:val="es-ES" w:eastAsia="es-ES"/>
        </w:rPr>
        <w:t>NOTIFÍQUESE.</w:t>
      </w:r>
    </w:p>
    <w:p w:rsidR="00F12FD1" w:rsidRDefault="00F12FD1">
      <w:pPr>
        <w:kinsoku w:val="0"/>
        <w:overflowPunct w:val="0"/>
        <w:autoSpaceDE/>
        <w:autoSpaceDN/>
        <w:adjustRightInd/>
        <w:spacing w:before="290" w:line="284" w:lineRule="exact"/>
        <w:ind w:left="72"/>
        <w:textAlignment w:val="baseline"/>
        <w:rPr>
          <w:b/>
          <w:bCs/>
          <w:i/>
          <w:iCs/>
          <w:sz w:val="24"/>
          <w:szCs w:val="24"/>
          <w:lang w:val="es-ES" w:eastAsia="es-ES"/>
        </w:rPr>
      </w:pPr>
    </w:p>
    <w:p w:rsidR="00F12FD1" w:rsidRPr="00851184" w:rsidRDefault="00F12FD1" w:rsidP="00F12FD1">
      <w:pPr>
        <w:kinsoku w:val="0"/>
        <w:overflowPunct w:val="0"/>
        <w:autoSpaceDE/>
        <w:autoSpaceDN/>
        <w:adjustRightInd/>
        <w:ind w:left="864" w:hanging="864"/>
        <w:jc w:val="center"/>
        <w:textAlignment w:val="baseline"/>
        <w:rPr>
          <w:rStyle w:val="CharacterStyle1"/>
          <w:iCs/>
          <w:spacing w:val="5"/>
          <w:sz w:val="26"/>
          <w:szCs w:val="26"/>
        </w:rPr>
      </w:pPr>
      <w:r w:rsidRPr="00851184">
        <w:rPr>
          <w:rStyle w:val="CharacterStyle1"/>
          <w:iCs/>
          <w:spacing w:val="5"/>
          <w:sz w:val="26"/>
          <w:szCs w:val="26"/>
        </w:rPr>
        <w:t>Lic. Carlos Miguel Portuguez Méndez</w:t>
      </w:r>
    </w:p>
    <w:p w:rsidR="00F12FD1" w:rsidRDefault="00F12FD1" w:rsidP="00F12FD1">
      <w:pPr>
        <w:kinsoku w:val="0"/>
        <w:overflowPunct w:val="0"/>
        <w:autoSpaceDE/>
        <w:autoSpaceDN/>
        <w:adjustRightInd/>
        <w:ind w:left="864" w:hanging="864"/>
        <w:jc w:val="center"/>
        <w:textAlignment w:val="baseline"/>
        <w:rPr>
          <w:rStyle w:val="CharacterStyle1"/>
          <w:b/>
          <w:iCs/>
          <w:spacing w:val="5"/>
          <w:sz w:val="26"/>
          <w:szCs w:val="26"/>
        </w:rPr>
      </w:pPr>
      <w:r>
        <w:rPr>
          <w:rStyle w:val="CharacterStyle1"/>
          <w:b/>
          <w:iCs/>
          <w:spacing w:val="5"/>
          <w:sz w:val="26"/>
          <w:szCs w:val="26"/>
        </w:rPr>
        <w:t>Presidente</w:t>
      </w:r>
    </w:p>
    <w:p w:rsidR="00F12FD1" w:rsidRPr="00AE0D42" w:rsidRDefault="00F12FD1" w:rsidP="00F12FD1">
      <w:pPr>
        <w:pStyle w:val="Style1"/>
        <w:kinsoku w:val="0"/>
        <w:overflowPunct w:val="0"/>
        <w:autoSpaceDE/>
        <w:autoSpaceDN/>
        <w:adjustRightInd/>
        <w:spacing w:before="100" w:beforeAutospacing="1"/>
        <w:ind w:left="864" w:hanging="864"/>
        <w:jc w:val="center"/>
        <w:textAlignment w:val="baseline"/>
        <w:rPr>
          <w:rStyle w:val="CharacterStyle1"/>
          <w:b/>
          <w:iCs/>
          <w:spacing w:val="5"/>
          <w:sz w:val="26"/>
          <w:szCs w:val="26"/>
        </w:rPr>
      </w:pPr>
    </w:p>
    <w:p w:rsidR="00F12FD1" w:rsidRDefault="00F12FD1" w:rsidP="00F12FD1">
      <w:pPr>
        <w:kinsoku w:val="0"/>
        <w:overflowPunct w:val="0"/>
        <w:autoSpaceDE/>
        <w:autoSpaceDN/>
        <w:adjustRightInd/>
        <w:ind w:left="864" w:right="144" w:hanging="86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F12FD1" w:rsidRDefault="00F12FD1" w:rsidP="00F12FD1">
      <w:pPr>
        <w:kinsoku w:val="0"/>
        <w:overflowPunct w:val="0"/>
        <w:autoSpaceDE/>
        <w:autoSpaceDN/>
        <w:adjustRightInd/>
        <w:spacing w:before="290" w:line="284" w:lineRule="exact"/>
        <w:ind w:left="72" w:hanging="72"/>
        <w:jc w:val="center"/>
        <w:textAlignment w:val="baseline"/>
        <w:rPr>
          <w:b/>
          <w:bCs/>
          <w:i/>
          <w:iCs/>
          <w:sz w:val="24"/>
          <w:szCs w:val="24"/>
          <w:lang w:val="es-ES" w:eastAsia="es-ES"/>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sectPr w:rsidR="00F12FD1" w:rsidSect="00F12FD1">
      <w:type w:val="continuous"/>
      <w:pgSz w:w="12134" w:h="15840"/>
      <w:pgMar w:top="1632" w:right="1394" w:bottom="1276" w:left="16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47841"/>
    <w:multiLevelType w:val="singleLevel"/>
    <w:tmpl w:val="9732DD42"/>
    <w:lvl w:ilvl="0">
      <w:start w:val="1"/>
      <w:numFmt w:val="decimal"/>
      <w:lvlText w:val="%1.-"/>
      <w:lvlJc w:val="left"/>
      <w:pPr>
        <w:tabs>
          <w:tab w:val="num" w:pos="792"/>
        </w:tabs>
        <w:ind w:left="144"/>
      </w:pPr>
      <w:rPr>
        <w:b/>
        <w:snapToGrid/>
        <w:spacing w:val="1"/>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8A6"/>
    <w:rsid w:val="00477591"/>
    <w:rsid w:val="004F68A6"/>
    <w:rsid w:val="00F12FD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E3A0BC"/>
  <w14:defaultImageDpi w14:val="0"/>
  <w15:docId w15:val="{B55DD218-C337-4B5F-ADCD-B0ADB2523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F12FD1"/>
    <w:rPr>
      <w:lang w:val="es-CR"/>
    </w:rPr>
  </w:style>
  <w:style w:type="character" w:customStyle="1" w:styleId="CharacterStyle1">
    <w:name w:val="Character Style 1"/>
    <w:uiPriority w:val="99"/>
    <w:rsid w:val="00F12FD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8D6-EADB-4AF9-AF3C-69F3BEF14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1456</Words>
  <Characters>8009</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3</cp:revision>
  <dcterms:created xsi:type="dcterms:W3CDTF">2016-06-15T16:11:00Z</dcterms:created>
  <dcterms:modified xsi:type="dcterms:W3CDTF">2016-06-15T16:11:00Z</dcterms:modified>
</cp:coreProperties>
</file>